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C2" w:rsidRPr="00D509BF" w:rsidRDefault="00E364C3" w:rsidP="00D509BF">
      <w:pPr>
        <w:spacing w:after="120" w:line="240" w:lineRule="auto"/>
        <w:rPr>
          <w:b/>
          <w:sz w:val="24"/>
          <w:szCs w:val="20"/>
        </w:rPr>
      </w:pPr>
      <w:r w:rsidRPr="00D509BF">
        <w:rPr>
          <w:b/>
          <w:sz w:val="24"/>
          <w:szCs w:val="20"/>
        </w:rPr>
        <w:t>Introduction</w:t>
      </w:r>
    </w:p>
    <w:p w:rsidR="00C978DD" w:rsidRPr="00C978DD" w:rsidRDefault="00C978DD" w:rsidP="00C978DD">
      <w:pPr>
        <w:spacing w:before="240" w:after="120" w:line="240" w:lineRule="auto"/>
        <w:rPr>
          <w:sz w:val="20"/>
          <w:szCs w:val="20"/>
        </w:rPr>
      </w:pPr>
      <w:r w:rsidRPr="00C978DD">
        <w:rPr>
          <w:sz w:val="20"/>
          <w:szCs w:val="20"/>
        </w:rPr>
        <w:t>GLYCOGEN is a branched polysaccharid</w:t>
      </w:r>
      <w:r>
        <w:rPr>
          <w:sz w:val="20"/>
          <w:szCs w:val="20"/>
        </w:rPr>
        <w:t xml:space="preserve">e of glucose units linked by α- </w:t>
      </w:r>
      <w:r w:rsidRPr="00C978DD">
        <w:rPr>
          <w:sz w:val="20"/>
          <w:szCs w:val="20"/>
        </w:rPr>
        <w:t>1</w:t>
      </w:r>
      <w:proofErr w:type="gramStart"/>
      <w:r w:rsidRPr="00C978DD">
        <w:rPr>
          <w:sz w:val="20"/>
          <w:szCs w:val="20"/>
        </w:rPr>
        <w:t>,4</w:t>
      </w:r>
      <w:proofErr w:type="gramEnd"/>
      <w:r w:rsidRPr="00C978DD">
        <w:rPr>
          <w:sz w:val="20"/>
          <w:szCs w:val="20"/>
        </w:rPr>
        <w:t xml:space="preserve"> </w:t>
      </w:r>
      <w:proofErr w:type="spellStart"/>
      <w:r w:rsidRPr="00C978DD">
        <w:rPr>
          <w:sz w:val="20"/>
          <w:szCs w:val="20"/>
        </w:rPr>
        <w:t>glycosidic</w:t>
      </w:r>
      <w:proofErr w:type="spellEnd"/>
      <w:r w:rsidRPr="00C978DD">
        <w:rPr>
          <w:sz w:val="20"/>
          <w:szCs w:val="20"/>
        </w:rPr>
        <w:t xml:space="preserve"> bonds and α-1,6 </w:t>
      </w:r>
      <w:proofErr w:type="spellStart"/>
      <w:r w:rsidRPr="00C978DD">
        <w:rPr>
          <w:sz w:val="20"/>
          <w:szCs w:val="20"/>
        </w:rPr>
        <w:t>glycosidic</w:t>
      </w:r>
      <w:proofErr w:type="spellEnd"/>
      <w:r w:rsidRPr="00C978DD">
        <w:rPr>
          <w:sz w:val="20"/>
          <w:szCs w:val="20"/>
        </w:rPr>
        <w:t xml:space="preserve"> bonds. It is stored primaril</w:t>
      </w:r>
      <w:r>
        <w:rPr>
          <w:sz w:val="20"/>
          <w:szCs w:val="20"/>
        </w:rPr>
        <w:t xml:space="preserve">y in </w:t>
      </w:r>
      <w:r w:rsidRPr="00C978DD">
        <w:rPr>
          <w:sz w:val="20"/>
          <w:szCs w:val="20"/>
        </w:rPr>
        <w:t>the liver and muscle, and forms an ene</w:t>
      </w:r>
      <w:r>
        <w:rPr>
          <w:sz w:val="20"/>
          <w:szCs w:val="20"/>
        </w:rPr>
        <w:t xml:space="preserve">rgy reserve that can be quickly </w:t>
      </w:r>
      <w:r w:rsidRPr="00C978DD">
        <w:rPr>
          <w:sz w:val="20"/>
          <w:szCs w:val="20"/>
        </w:rPr>
        <w:t>mobilized to meet a sudden ne</w:t>
      </w:r>
      <w:r>
        <w:rPr>
          <w:sz w:val="20"/>
          <w:szCs w:val="20"/>
        </w:rPr>
        <w:t xml:space="preserve">ed for glucose. The most common </w:t>
      </w:r>
      <w:r w:rsidRPr="00C978DD">
        <w:rPr>
          <w:sz w:val="20"/>
          <w:szCs w:val="20"/>
        </w:rPr>
        <w:t>glycogen metabolism disorder is foun</w:t>
      </w:r>
      <w:r>
        <w:rPr>
          <w:sz w:val="20"/>
          <w:szCs w:val="20"/>
        </w:rPr>
        <w:t xml:space="preserve">d in diabetes, in which, due to </w:t>
      </w:r>
      <w:r w:rsidRPr="00C978DD">
        <w:rPr>
          <w:sz w:val="20"/>
          <w:szCs w:val="20"/>
        </w:rPr>
        <w:t>abnormal amounts of insulin, liver glycogen can be a</w:t>
      </w:r>
      <w:r>
        <w:rPr>
          <w:sz w:val="20"/>
          <w:szCs w:val="20"/>
        </w:rPr>
        <w:t xml:space="preserve">bnormally </w:t>
      </w:r>
      <w:r w:rsidRPr="00C978DD">
        <w:rPr>
          <w:sz w:val="20"/>
          <w:szCs w:val="20"/>
        </w:rPr>
        <w:t>accumulated or depleted. Genetic glyc</w:t>
      </w:r>
      <w:r>
        <w:rPr>
          <w:sz w:val="20"/>
          <w:szCs w:val="20"/>
        </w:rPr>
        <w:t xml:space="preserve">ogen storage diseases have been </w:t>
      </w:r>
      <w:r w:rsidRPr="00C978DD">
        <w:rPr>
          <w:sz w:val="20"/>
          <w:szCs w:val="20"/>
        </w:rPr>
        <w:t>associated with various inborn</w:t>
      </w:r>
      <w:r>
        <w:rPr>
          <w:sz w:val="20"/>
          <w:szCs w:val="20"/>
        </w:rPr>
        <w:t xml:space="preserve"> errors of metabolism caused by </w:t>
      </w:r>
      <w:r w:rsidRPr="00C978DD">
        <w:rPr>
          <w:sz w:val="20"/>
          <w:szCs w:val="20"/>
        </w:rPr>
        <w:t>deficiencies of enzymes necessary for glycogen synthesis or breakdown.</w:t>
      </w:r>
    </w:p>
    <w:p w:rsidR="00CE6434" w:rsidRPr="00CD5B85" w:rsidRDefault="00C978DD" w:rsidP="00C978DD">
      <w:pPr>
        <w:spacing w:before="240" w:after="120" w:line="240" w:lineRule="auto"/>
        <w:rPr>
          <w:sz w:val="20"/>
          <w:szCs w:val="20"/>
        </w:rPr>
      </w:pPr>
      <w:r w:rsidRPr="00C978DD">
        <w:rPr>
          <w:sz w:val="20"/>
          <w:szCs w:val="20"/>
        </w:rPr>
        <w:t>Simple, direct and automation-ready procedur</w:t>
      </w:r>
      <w:r>
        <w:rPr>
          <w:sz w:val="20"/>
          <w:szCs w:val="20"/>
        </w:rPr>
        <w:t xml:space="preserve">es for measuring glycogen </w:t>
      </w:r>
      <w:r w:rsidRPr="00C978DD">
        <w:rPr>
          <w:sz w:val="20"/>
          <w:szCs w:val="20"/>
        </w:rPr>
        <w:t xml:space="preserve">concentrations find wide applications </w:t>
      </w:r>
      <w:r>
        <w:rPr>
          <w:sz w:val="20"/>
          <w:szCs w:val="20"/>
        </w:rPr>
        <w:t xml:space="preserve">in research and drug discovery. </w:t>
      </w:r>
      <w:r w:rsidR="002A210C">
        <w:rPr>
          <w:sz w:val="20"/>
          <w:szCs w:val="20"/>
        </w:rPr>
        <w:t>LSBio’s</w:t>
      </w:r>
      <w:r w:rsidRPr="00C978DD">
        <w:rPr>
          <w:sz w:val="20"/>
          <w:szCs w:val="20"/>
        </w:rPr>
        <w:t xml:space="preserve"> glycogen assay use</w:t>
      </w:r>
      <w:r>
        <w:rPr>
          <w:sz w:val="20"/>
          <w:szCs w:val="20"/>
        </w:rPr>
        <w:t xml:space="preserve">s a single Working Reagent that </w:t>
      </w:r>
      <w:r w:rsidRPr="00C978DD">
        <w:rPr>
          <w:sz w:val="20"/>
          <w:szCs w:val="20"/>
        </w:rPr>
        <w:t>combines the enzymatic break down o</w:t>
      </w:r>
      <w:r>
        <w:rPr>
          <w:sz w:val="20"/>
          <w:szCs w:val="20"/>
        </w:rPr>
        <w:t xml:space="preserve">f glycogen and the detection of </w:t>
      </w:r>
      <w:r w:rsidRPr="00C978DD">
        <w:rPr>
          <w:sz w:val="20"/>
          <w:szCs w:val="20"/>
        </w:rPr>
        <w:t>glucose in one step. The color intensity o</w:t>
      </w:r>
      <w:r>
        <w:rPr>
          <w:sz w:val="20"/>
          <w:szCs w:val="20"/>
        </w:rPr>
        <w:t xml:space="preserve">f the reaction product at 570nm </w:t>
      </w:r>
      <w:r w:rsidRPr="00C978DD">
        <w:rPr>
          <w:sz w:val="20"/>
          <w:szCs w:val="20"/>
        </w:rPr>
        <w:t xml:space="preserve">or fluorescence intensity at </w:t>
      </w:r>
      <w:proofErr w:type="spellStart"/>
      <w:r w:rsidRPr="00C978DD">
        <w:rPr>
          <w:sz w:val="20"/>
          <w:szCs w:val="20"/>
        </w:rPr>
        <w:t>λ</w:t>
      </w:r>
      <w:r w:rsidRPr="00C978DD">
        <w:rPr>
          <w:sz w:val="20"/>
          <w:szCs w:val="20"/>
          <w:vertAlign w:val="subscript"/>
        </w:rPr>
        <w:t>ex</w:t>
      </w:r>
      <w:proofErr w:type="spellEnd"/>
      <w:r w:rsidRPr="00C978DD">
        <w:rPr>
          <w:sz w:val="20"/>
          <w:szCs w:val="20"/>
          <w:vertAlign w:val="subscript"/>
        </w:rPr>
        <w:t>/</w:t>
      </w:r>
      <w:proofErr w:type="spellStart"/>
      <w:r w:rsidRPr="00C978DD">
        <w:rPr>
          <w:sz w:val="20"/>
          <w:szCs w:val="20"/>
          <w:vertAlign w:val="subscript"/>
        </w:rPr>
        <w:t>em</w:t>
      </w:r>
      <w:proofErr w:type="spellEnd"/>
      <w:r w:rsidRPr="00C978DD">
        <w:rPr>
          <w:sz w:val="20"/>
          <w:szCs w:val="20"/>
          <w:vertAlign w:val="subscript"/>
        </w:rPr>
        <w:t xml:space="preserve"> </w:t>
      </w:r>
      <w:r w:rsidRPr="00C978DD">
        <w:rPr>
          <w:sz w:val="20"/>
          <w:szCs w:val="20"/>
        </w:rPr>
        <w:t>= 530/585</w:t>
      </w:r>
      <w:r>
        <w:rPr>
          <w:sz w:val="20"/>
          <w:szCs w:val="20"/>
        </w:rPr>
        <w:t xml:space="preserve"> nm is directly proportional to </w:t>
      </w:r>
      <w:r w:rsidRPr="00C978DD">
        <w:rPr>
          <w:sz w:val="20"/>
          <w:szCs w:val="20"/>
        </w:rPr>
        <w:t>the glycogen concentration in the sampl</w:t>
      </w:r>
      <w:r>
        <w:rPr>
          <w:sz w:val="20"/>
          <w:szCs w:val="20"/>
        </w:rPr>
        <w:t xml:space="preserve">e. This simple convenient assay </w:t>
      </w:r>
      <w:r w:rsidRPr="00C978DD">
        <w:rPr>
          <w:sz w:val="20"/>
          <w:szCs w:val="20"/>
        </w:rPr>
        <w:t>is carried out at room temperature and takes only 30 min.</w:t>
      </w:r>
    </w:p>
    <w:p w:rsidR="005B3C6A" w:rsidRDefault="005B3C6A" w:rsidP="005B3C6A">
      <w:pPr>
        <w:spacing w:before="240" w:after="12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Key Features</w:t>
      </w:r>
    </w:p>
    <w:p w:rsidR="005B3C6A" w:rsidRPr="002D21CB" w:rsidRDefault="00C978DD" w:rsidP="002D21CB">
      <w:pPr>
        <w:pStyle w:val="ListParagraph"/>
        <w:numPr>
          <w:ilvl w:val="0"/>
          <w:numId w:val="12"/>
        </w:numPr>
        <w:spacing w:beforeLines="40" w:before="96" w:afterLines="40" w:after="96" w:line="240" w:lineRule="auto"/>
        <w:rPr>
          <w:sz w:val="20"/>
          <w:szCs w:val="20"/>
        </w:rPr>
      </w:pPr>
      <w:r w:rsidRPr="002D21CB">
        <w:rPr>
          <w:sz w:val="20"/>
          <w:szCs w:val="20"/>
        </w:rPr>
        <w:t xml:space="preserve">Use as little as 10 μL samples. Linear detection range: 2 to 200 μg/mL glycogen for colorimetric assays and 0.2 to 20 μg/mL for </w:t>
      </w:r>
      <w:r w:rsidR="002A210C" w:rsidRPr="002D21CB">
        <w:rPr>
          <w:sz w:val="20"/>
          <w:szCs w:val="20"/>
        </w:rPr>
        <w:t>fluorometric</w:t>
      </w:r>
      <w:r w:rsidRPr="002D21CB">
        <w:rPr>
          <w:sz w:val="20"/>
          <w:szCs w:val="20"/>
        </w:rPr>
        <w:t xml:space="preserve"> assays.</w:t>
      </w:r>
    </w:p>
    <w:p w:rsidR="00E600C2" w:rsidRPr="00D509BF" w:rsidRDefault="00D741FD" w:rsidP="00D509BF">
      <w:pPr>
        <w:spacing w:before="240" w:after="12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16"/>
      </w:tblGrid>
      <w:tr w:rsidR="00453124" w:rsidRPr="00271218" w:rsidTr="00A308ED">
        <w:tc>
          <w:tcPr>
            <w:tcW w:w="2425" w:type="dxa"/>
            <w:vMerge w:val="restart"/>
            <w:shd w:val="clear" w:color="auto" w:fill="D9D9D9" w:themeFill="background1" w:themeFillShade="D9"/>
          </w:tcPr>
          <w:p w:rsidR="00453124" w:rsidRPr="00271218" w:rsidRDefault="00453124" w:rsidP="00D509BF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453124" w:rsidRPr="00271218" w:rsidRDefault="00453124" w:rsidP="00D509BF">
            <w:pPr>
              <w:spacing w:before="40" w:after="40"/>
              <w:rPr>
                <w:b/>
                <w:sz w:val="20"/>
                <w:szCs w:val="20"/>
              </w:rPr>
            </w:pPr>
            <w:r w:rsidRPr="00271218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453124" w:rsidRPr="00271218" w:rsidRDefault="00453124" w:rsidP="00D509B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K183</w:t>
            </w:r>
            <w:r w:rsidRPr="00271218">
              <w:rPr>
                <w:b/>
                <w:sz w:val="20"/>
                <w:szCs w:val="20"/>
              </w:rPr>
              <w:t>-100</w:t>
            </w:r>
          </w:p>
        </w:tc>
      </w:tr>
      <w:tr w:rsidR="00453124" w:rsidRPr="00271218" w:rsidTr="00A308ED">
        <w:tc>
          <w:tcPr>
            <w:tcW w:w="2425" w:type="dxa"/>
            <w:vMerge/>
            <w:shd w:val="clear" w:color="auto" w:fill="D9D9D9" w:themeFill="background1" w:themeFillShade="D9"/>
          </w:tcPr>
          <w:p w:rsidR="00453124" w:rsidRPr="00271218" w:rsidRDefault="00453124" w:rsidP="00D509BF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453124" w:rsidRPr="00271218" w:rsidRDefault="00453124" w:rsidP="00E16C7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71218">
              <w:rPr>
                <w:b/>
                <w:sz w:val="20"/>
                <w:szCs w:val="20"/>
              </w:rPr>
              <w:t xml:space="preserve">100 </w:t>
            </w:r>
            <w:r>
              <w:rPr>
                <w:b/>
                <w:sz w:val="20"/>
                <w:szCs w:val="20"/>
              </w:rPr>
              <w:t>Tests</w:t>
            </w:r>
          </w:p>
        </w:tc>
      </w:tr>
      <w:tr w:rsidR="00453124" w:rsidRPr="00271218" w:rsidTr="00A308ED">
        <w:tc>
          <w:tcPr>
            <w:tcW w:w="2425" w:type="dxa"/>
            <w:vAlign w:val="center"/>
          </w:tcPr>
          <w:p w:rsidR="00453124" w:rsidRPr="00195B6F" w:rsidRDefault="00453124" w:rsidP="00D509B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Assay Buffer</w:t>
            </w:r>
          </w:p>
        </w:tc>
        <w:tc>
          <w:tcPr>
            <w:tcW w:w="2016" w:type="dxa"/>
            <w:vAlign w:val="center"/>
          </w:tcPr>
          <w:p w:rsidR="00453124" w:rsidRPr="00195B6F" w:rsidRDefault="00453124" w:rsidP="00D509B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mL</w:t>
            </w:r>
          </w:p>
        </w:tc>
      </w:tr>
      <w:tr w:rsidR="00453124" w:rsidRPr="00271218" w:rsidTr="00A308ED">
        <w:tc>
          <w:tcPr>
            <w:tcW w:w="2425" w:type="dxa"/>
            <w:vAlign w:val="center"/>
          </w:tcPr>
          <w:p w:rsidR="00453124" w:rsidRPr="00195B6F" w:rsidRDefault="00453124" w:rsidP="00D509B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Enzyme A</w:t>
            </w:r>
          </w:p>
        </w:tc>
        <w:tc>
          <w:tcPr>
            <w:tcW w:w="2016" w:type="dxa"/>
            <w:vAlign w:val="center"/>
          </w:tcPr>
          <w:p w:rsidR="00453124" w:rsidRPr="00195B6F" w:rsidRDefault="00453124" w:rsidP="00D509B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Dried</w:t>
            </w:r>
          </w:p>
        </w:tc>
      </w:tr>
      <w:tr w:rsidR="00453124" w:rsidRPr="00271218" w:rsidTr="00A308ED">
        <w:tc>
          <w:tcPr>
            <w:tcW w:w="2425" w:type="dxa"/>
            <w:vAlign w:val="center"/>
          </w:tcPr>
          <w:p w:rsidR="00453124" w:rsidRPr="00195B6F" w:rsidRDefault="00453124" w:rsidP="005970E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Enzyme B</w:t>
            </w:r>
          </w:p>
        </w:tc>
        <w:tc>
          <w:tcPr>
            <w:tcW w:w="2016" w:type="dxa"/>
            <w:vAlign w:val="center"/>
          </w:tcPr>
          <w:p w:rsidR="00453124" w:rsidRPr="00195B6F" w:rsidRDefault="00453124" w:rsidP="00D509B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95B6F">
              <w:rPr>
                <w:sz w:val="20"/>
                <w:szCs w:val="20"/>
              </w:rPr>
              <w:t>0 µL</w:t>
            </w:r>
          </w:p>
        </w:tc>
      </w:tr>
      <w:tr w:rsidR="00453124" w:rsidRPr="00271218" w:rsidTr="00A308ED">
        <w:tc>
          <w:tcPr>
            <w:tcW w:w="2425" w:type="dxa"/>
            <w:vAlign w:val="center"/>
          </w:tcPr>
          <w:p w:rsidR="00453124" w:rsidRDefault="00453124" w:rsidP="005970E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Dye Reagent</w:t>
            </w:r>
          </w:p>
        </w:tc>
        <w:tc>
          <w:tcPr>
            <w:tcW w:w="2016" w:type="dxa"/>
            <w:vAlign w:val="center"/>
          </w:tcPr>
          <w:p w:rsidR="00453124" w:rsidRDefault="00453124" w:rsidP="00D509B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95B6F">
              <w:rPr>
                <w:sz w:val="20"/>
                <w:szCs w:val="20"/>
              </w:rPr>
              <w:t>0 µL</w:t>
            </w:r>
          </w:p>
        </w:tc>
      </w:tr>
      <w:tr w:rsidR="00453124" w:rsidRPr="00271218" w:rsidTr="00A308ED">
        <w:tc>
          <w:tcPr>
            <w:tcW w:w="2425" w:type="dxa"/>
            <w:vAlign w:val="center"/>
          </w:tcPr>
          <w:p w:rsidR="00453124" w:rsidRPr="00195B6F" w:rsidRDefault="00453124" w:rsidP="00D509BF">
            <w:pPr>
              <w:spacing w:before="40" w:after="40"/>
              <w:rPr>
                <w:sz w:val="20"/>
                <w:szCs w:val="20"/>
              </w:rPr>
            </w:pPr>
            <w:r w:rsidRPr="00195B6F">
              <w:rPr>
                <w:sz w:val="20"/>
                <w:szCs w:val="20"/>
              </w:rPr>
              <w:t>Standard</w:t>
            </w:r>
            <w:r w:rsidR="00A308ED">
              <w:rPr>
                <w:sz w:val="20"/>
                <w:szCs w:val="20"/>
              </w:rPr>
              <w:t xml:space="preserve"> (</w:t>
            </w:r>
            <w:r w:rsidR="00A308ED" w:rsidRPr="003B4C61">
              <w:rPr>
                <w:sz w:val="20"/>
                <w:szCs w:val="20"/>
              </w:rPr>
              <w:t>50 mg/mL</w:t>
            </w:r>
            <w:r w:rsidR="00A308ED">
              <w:rPr>
                <w:sz w:val="20"/>
                <w:szCs w:val="20"/>
              </w:rPr>
              <w:t>)</w:t>
            </w:r>
          </w:p>
        </w:tc>
        <w:tc>
          <w:tcPr>
            <w:tcW w:w="2016" w:type="dxa"/>
            <w:vAlign w:val="center"/>
          </w:tcPr>
          <w:p w:rsidR="00453124" w:rsidRPr="00195B6F" w:rsidRDefault="00453124" w:rsidP="00A308E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B4C61">
              <w:rPr>
                <w:sz w:val="20"/>
                <w:szCs w:val="20"/>
              </w:rPr>
              <w:t>50 μL</w:t>
            </w:r>
          </w:p>
        </w:tc>
      </w:tr>
    </w:tbl>
    <w:p w:rsidR="00641787" w:rsidRDefault="005B3C6A" w:rsidP="00641787">
      <w:pPr>
        <w:spacing w:before="240" w:after="12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Materials </w:t>
      </w:r>
      <w:r w:rsidR="00641787">
        <w:rPr>
          <w:b/>
          <w:sz w:val="24"/>
          <w:szCs w:val="20"/>
        </w:rPr>
        <w:t>Not Supplied</w:t>
      </w:r>
    </w:p>
    <w:p w:rsidR="00702851" w:rsidRPr="002C2C7F" w:rsidRDefault="00C978DD" w:rsidP="00C978DD">
      <w:pPr>
        <w:spacing w:before="240" w:after="120" w:line="240" w:lineRule="auto"/>
        <w:rPr>
          <w:sz w:val="20"/>
          <w:szCs w:val="20"/>
        </w:rPr>
      </w:pPr>
      <w:r w:rsidRPr="00C978DD">
        <w:rPr>
          <w:sz w:val="20"/>
          <w:szCs w:val="20"/>
        </w:rPr>
        <w:t>Pipetting devices, centrifuge tubes, clear flat-bottom uncoated 96-well</w:t>
      </w:r>
      <w:r>
        <w:rPr>
          <w:sz w:val="20"/>
          <w:szCs w:val="20"/>
        </w:rPr>
        <w:t xml:space="preserve"> </w:t>
      </w:r>
      <w:r w:rsidRPr="00C978DD">
        <w:rPr>
          <w:sz w:val="20"/>
          <w:szCs w:val="20"/>
        </w:rPr>
        <w:t>Plates, optical density</w:t>
      </w:r>
      <w:r>
        <w:rPr>
          <w:sz w:val="20"/>
          <w:szCs w:val="20"/>
        </w:rPr>
        <w:t xml:space="preserve"> plate reader; black </w:t>
      </w:r>
      <w:r w:rsidR="002A210C">
        <w:rPr>
          <w:sz w:val="20"/>
          <w:szCs w:val="20"/>
        </w:rPr>
        <w:t>flat bottom</w:t>
      </w:r>
      <w:r>
        <w:rPr>
          <w:sz w:val="20"/>
          <w:szCs w:val="20"/>
        </w:rPr>
        <w:t xml:space="preserve"> uncoated 96-well plates, fluorescence </w:t>
      </w:r>
      <w:r w:rsidRPr="00C978DD">
        <w:rPr>
          <w:sz w:val="20"/>
          <w:szCs w:val="20"/>
        </w:rPr>
        <w:t>plate reader.</w:t>
      </w:r>
    </w:p>
    <w:p w:rsidR="00B71093" w:rsidRPr="00D509BF" w:rsidRDefault="00B71093" w:rsidP="00B71093">
      <w:pPr>
        <w:spacing w:before="240" w:after="12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Storage</w:t>
      </w:r>
    </w:p>
    <w:p w:rsidR="00B71093" w:rsidRPr="00E16C7F" w:rsidRDefault="00B71093" w:rsidP="00B71093">
      <w:pPr>
        <w:spacing w:beforeLines="40" w:before="96" w:afterLines="40" w:after="96" w:line="240" w:lineRule="auto"/>
        <w:rPr>
          <w:sz w:val="20"/>
          <w:szCs w:val="20"/>
        </w:rPr>
      </w:pPr>
      <w:r w:rsidRPr="00E16C7F">
        <w:rPr>
          <w:sz w:val="20"/>
          <w:szCs w:val="20"/>
        </w:rPr>
        <w:t xml:space="preserve">The kit is shipped on ice. Store all kit components at -20 °C. </w:t>
      </w:r>
    </w:p>
    <w:p w:rsidR="002D21CB" w:rsidRDefault="002D21CB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E600C2" w:rsidRPr="00D509BF" w:rsidRDefault="00E600C2" w:rsidP="00D509BF">
      <w:pPr>
        <w:spacing w:before="240" w:after="120" w:line="240" w:lineRule="auto"/>
        <w:rPr>
          <w:b/>
          <w:sz w:val="24"/>
          <w:szCs w:val="20"/>
        </w:rPr>
      </w:pPr>
      <w:r w:rsidRPr="00D509BF">
        <w:rPr>
          <w:b/>
          <w:sz w:val="24"/>
          <w:szCs w:val="20"/>
        </w:rPr>
        <w:lastRenderedPageBreak/>
        <w:t xml:space="preserve">Assay Procedure </w:t>
      </w:r>
    </w:p>
    <w:p w:rsidR="00C978DD" w:rsidRPr="00453124" w:rsidRDefault="00453124" w:rsidP="00453124">
      <w:pPr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Reagent Preparation</w:t>
      </w:r>
    </w:p>
    <w:p w:rsidR="00C978DD" w:rsidRPr="003B4C61" w:rsidRDefault="00C978DD" w:rsidP="00453124">
      <w:pPr>
        <w:pStyle w:val="ListParagraph"/>
        <w:spacing w:before="120" w:after="0" w:line="240" w:lineRule="auto"/>
        <w:ind w:left="360"/>
        <w:rPr>
          <w:sz w:val="20"/>
          <w:szCs w:val="20"/>
        </w:rPr>
      </w:pPr>
      <w:r w:rsidRPr="00C978DD">
        <w:rPr>
          <w:sz w:val="20"/>
          <w:szCs w:val="20"/>
        </w:rPr>
        <w:t xml:space="preserve">Reconstitute Enzyme A by adding 120 </w:t>
      </w:r>
      <w:r w:rsidR="003B4C61">
        <w:rPr>
          <w:sz w:val="20"/>
          <w:szCs w:val="20"/>
        </w:rPr>
        <w:t xml:space="preserve">μL Assay Buffer to the Enzyme A </w:t>
      </w:r>
      <w:r w:rsidRPr="003B4C61">
        <w:rPr>
          <w:sz w:val="20"/>
          <w:szCs w:val="20"/>
        </w:rPr>
        <w:t>tube. Make sure Enzyme A is fully dissolved by pipetting up and down.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Store reconstituted Enzyme A at -20°C and use within 1 month.</w:t>
      </w:r>
    </w:p>
    <w:p w:rsidR="00C978DD" w:rsidRPr="00453124" w:rsidRDefault="00453124" w:rsidP="00453124">
      <w:pPr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Sample Preparation</w:t>
      </w:r>
    </w:p>
    <w:p w:rsidR="00C978DD" w:rsidRPr="003B4C61" w:rsidRDefault="00C978DD" w:rsidP="00453124">
      <w:pPr>
        <w:pStyle w:val="ListParagraph"/>
        <w:spacing w:before="120" w:after="0" w:line="240" w:lineRule="auto"/>
        <w:ind w:left="360"/>
        <w:rPr>
          <w:sz w:val="20"/>
          <w:szCs w:val="20"/>
        </w:rPr>
      </w:pPr>
      <w:r w:rsidRPr="00C978DD">
        <w:rPr>
          <w:sz w:val="20"/>
          <w:szCs w:val="20"/>
        </w:rPr>
        <w:t>Samples can be prepared according</w:t>
      </w:r>
      <w:r w:rsidR="003B4C61">
        <w:rPr>
          <w:sz w:val="20"/>
          <w:szCs w:val="20"/>
        </w:rPr>
        <w:t xml:space="preserve"> to Murat &amp; </w:t>
      </w:r>
      <w:proofErr w:type="spellStart"/>
      <w:r w:rsidR="003B4C61">
        <w:rPr>
          <w:sz w:val="20"/>
          <w:szCs w:val="20"/>
        </w:rPr>
        <w:t>Serfaty</w:t>
      </w:r>
      <w:proofErr w:type="spellEnd"/>
      <w:r w:rsidR="003B4C61">
        <w:rPr>
          <w:sz w:val="20"/>
          <w:szCs w:val="20"/>
        </w:rPr>
        <w:t xml:space="preserve"> (</w:t>
      </w:r>
      <w:proofErr w:type="spellStart"/>
      <w:r w:rsidR="003B4C61">
        <w:rPr>
          <w:sz w:val="20"/>
          <w:szCs w:val="20"/>
        </w:rPr>
        <w:t>Clin</w:t>
      </w:r>
      <w:proofErr w:type="spellEnd"/>
      <w:r w:rsidR="003B4C61">
        <w:rPr>
          <w:sz w:val="20"/>
          <w:szCs w:val="20"/>
        </w:rPr>
        <w:t xml:space="preserve"> Chem. </w:t>
      </w:r>
      <w:r w:rsidRPr="003B4C61">
        <w:rPr>
          <w:sz w:val="20"/>
          <w:szCs w:val="20"/>
        </w:rPr>
        <w:t>20:1576-1577, 1974). Briefly, homogenize tissue/cell sample in 25 mM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 xml:space="preserve">citrate, pH 4.2, 2.5 g/L </w:t>
      </w:r>
      <w:proofErr w:type="spellStart"/>
      <w:r w:rsidRPr="003B4C61">
        <w:rPr>
          <w:sz w:val="20"/>
          <w:szCs w:val="20"/>
        </w:rPr>
        <w:t>NaF</w:t>
      </w:r>
      <w:proofErr w:type="spellEnd"/>
      <w:r w:rsidRPr="003B4C61">
        <w:rPr>
          <w:sz w:val="20"/>
          <w:szCs w:val="20"/>
        </w:rPr>
        <w:t xml:space="preserve"> on ice. Centrifuge 14,000 g for 5 min to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remove debris, and use 10 μL clear supernatant for the assay.</w:t>
      </w:r>
    </w:p>
    <w:p w:rsidR="00C978DD" w:rsidRPr="002A210C" w:rsidRDefault="00453124" w:rsidP="00453124">
      <w:pPr>
        <w:spacing w:before="12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Colorimetric Procedure</w:t>
      </w:r>
    </w:p>
    <w:p w:rsidR="003B4C61" w:rsidRDefault="00C978DD" w:rsidP="0045312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3B4C61">
        <w:rPr>
          <w:sz w:val="20"/>
          <w:szCs w:val="20"/>
        </w:rPr>
        <w:t>Equilibrate all components to room temperature. During experiment,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keep thawed enzymes in a refrigerator or on ice.</w:t>
      </w:r>
    </w:p>
    <w:p w:rsidR="003B4C61" w:rsidRDefault="00C978DD" w:rsidP="0045312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3B4C61">
        <w:rPr>
          <w:sz w:val="20"/>
          <w:szCs w:val="20"/>
        </w:rPr>
        <w:t>Standards and samples: Dilute standard by mixing 5 μL Standard with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1.245 mL dH</w:t>
      </w:r>
      <w:r w:rsidRPr="003B4C61">
        <w:rPr>
          <w:sz w:val="20"/>
          <w:szCs w:val="20"/>
          <w:vertAlign w:val="subscript"/>
        </w:rPr>
        <w:t>2</w:t>
      </w:r>
      <w:r w:rsidRPr="003B4C61">
        <w:rPr>
          <w:sz w:val="20"/>
          <w:szCs w:val="20"/>
        </w:rPr>
        <w:t>O to give 200 μg/mL standard. Dilute standard in dH</w:t>
      </w:r>
      <w:r w:rsidRPr="003B4C61">
        <w:rPr>
          <w:sz w:val="20"/>
          <w:szCs w:val="20"/>
          <w:vertAlign w:val="subscript"/>
        </w:rPr>
        <w:t>2</w:t>
      </w:r>
      <w:r w:rsidRPr="003B4C61">
        <w:rPr>
          <w:sz w:val="20"/>
          <w:szCs w:val="20"/>
        </w:rPr>
        <w:t>O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as follows.</w:t>
      </w:r>
      <w:r w:rsidR="003B4C61">
        <w:rPr>
          <w:sz w:val="20"/>
          <w:szCs w:val="20"/>
        </w:rPr>
        <w:t xml:space="preserve"> </w:t>
      </w:r>
      <w:r w:rsidR="002A210C">
        <w:rPr>
          <w:sz w:val="20"/>
          <w:szCs w:val="20"/>
        </w:rPr>
        <w:br/>
      </w:r>
    </w:p>
    <w:p w:rsidR="003B4C61" w:rsidRDefault="000056C6" w:rsidP="00453124">
      <w:pPr>
        <w:pStyle w:val="ListParagraph"/>
        <w:spacing w:before="120" w:after="0" w:line="240" w:lineRule="auto"/>
        <w:contextualSpacing w:val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64A4E65" wp14:editId="6BAE33A8">
            <wp:extent cx="2971800" cy="8394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7604" cy="8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10C">
        <w:rPr>
          <w:sz w:val="20"/>
          <w:szCs w:val="20"/>
        </w:rPr>
        <w:br/>
      </w:r>
    </w:p>
    <w:p w:rsidR="0044304F" w:rsidRPr="0044304F" w:rsidRDefault="00C978DD" w:rsidP="0044304F">
      <w:pPr>
        <w:rPr>
          <w:rFonts w:ascii="Times New Roman" w:eastAsia="Times New Roman" w:hAnsi="Times New Roman" w:cs="Times New Roman"/>
          <w:sz w:val="24"/>
          <w:szCs w:val="24"/>
        </w:rPr>
      </w:pPr>
      <w:r w:rsidRPr="003B4C61">
        <w:rPr>
          <w:sz w:val="20"/>
          <w:szCs w:val="20"/>
        </w:rPr>
        <w:t>Transfer 10 μL standard and samples into separate wells of a clear</w:t>
      </w:r>
      <w:r w:rsidR="003B4C61" w:rsidRP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flat-bottom microplate.</w:t>
      </w:r>
      <w:r w:rsidR="0044304F">
        <w:rPr>
          <w:sz w:val="20"/>
          <w:szCs w:val="20"/>
        </w:rPr>
        <w:t xml:space="preserve"> </w:t>
      </w:r>
      <w:r w:rsidR="0044304F" w:rsidRPr="0044304F">
        <w:rPr>
          <w:rFonts w:eastAsia="Times New Roman" w:cstheme="minorHAnsi"/>
          <w:sz w:val="20"/>
          <w:szCs w:val="20"/>
        </w:rPr>
        <w:t xml:space="preserve">If the sample contains glucose, transfer an additional 10 </w:t>
      </w:r>
      <w:proofErr w:type="spellStart"/>
      <w:r w:rsidR="0044304F" w:rsidRPr="0044304F">
        <w:rPr>
          <w:rFonts w:eastAsia="Times New Roman" w:cstheme="minorHAnsi"/>
          <w:sz w:val="20"/>
          <w:szCs w:val="20"/>
        </w:rPr>
        <w:t>μL</w:t>
      </w:r>
      <w:proofErr w:type="spellEnd"/>
      <w:r w:rsidR="0044304F" w:rsidRPr="0044304F">
        <w:rPr>
          <w:rFonts w:eastAsia="Times New Roman" w:cstheme="minorHAnsi"/>
          <w:sz w:val="20"/>
          <w:szCs w:val="20"/>
        </w:rPr>
        <w:t xml:space="preserve"> sample to another well for the Sample Blank.</w:t>
      </w:r>
    </w:p>
    <w:p w:rsidR="003B4C61" w:rsidRPr="003B4C61" w:rsidRDefault="003B4C61" w:rsidP="00453124">
      <w:pPr>
        <w:pStyle w:val="ListParagraph"/>
        <w:spacing w:before="120" w:after="0" w:line="240" w:lineRule="auto"/>
        <w:contextualSpacing w:val="0"/>
        <w:rPr>
          <w:sz w:val="20"/>
          <w:szCs w:val="20"/>
        </w:rPr>
      </w:pPr>
    </w:p>
    <w:p w:rsidR="003B4C61" w:rsidRDefault="00C978DD" w:rsidP="0045312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3B4C61">
        <w:rPr>
          <w:sz w:val="20"/>
          <w:szCs w:val="20"/>
        </w:rPr>
        <w:t>Working Reagent. For each reaction well, mix 90 μL Assay Buffer, 1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μL Enzyme A, 1 μL Enzyme B and 1 μL Dye Reagent in a clean tube.</w:t>
      </w:r>
      <w:r w:rsidR="00F10D00">
        <w:rPr>
          <w:sz w:val="20"/>
          <w:szCs w:val="20"/>
        </w:rPr>
        <w:t xml:space="preserve"> </w:t>
      </w:r>
      <w:r w:rsidR="00F10D00" w:rsidRPr="00F10D00">
        <w:rPr>
          <w:sz w:val="20"/>
          <w:szCs w:val="20"/>
        </w:rPr>
        <w:t>For Sample Blank wells, prepare Blank Working Reagent by mixing 90 µL Assay Buffer, 1 µL Enzyme B, and 1 µL Dye Reagent (No Enzyme A). Transfer 90 µL Working Reagent into each Standard and Sample well.</w:t>
      </w:r>
      <w:r w:rsidR="003B4C61" w:rsidRPr="00F10D00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Transfer 90 μL Working Reagent into each reaction well. Tap plate to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mix.</w:t>
      </w:r>
    </w:p>
    <w:p w:rsidR="002C2C7F" w:rsidRPr="003B4C61" w:rsidRDefault="00C978DD" w:rsidP="0045312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3B4C61">
        <w:rPr>
          <w:sz w:val="20"/>
          <w:szCs w:val="20"/>
        </w:rPr>
        <w:t>Incubate 30 min at room temperature. Read optical density at 570 nm</w:t>
      </w:r>
      <w:r w:rsidR="003B4C61">
        <w:rPr>
          <w:sz w:val="20"/>
          <w:szCs w:val="20"/>
        </w:rPr>
        <w:t xml:space="preserve"> </w:t>
      </w:r>
      <w:r w:rsidRPr="003B4C61">
        <w:rPr>
          <w:sz w:val="20"/>
          <w:szCs w:val="20"/>
        </w:rPr>
        <w:t>(550-585 nm).</w:t>
      </w:r>
      <w:bookmarkStart w:id="0" w:name="_GoBack"/>
      <w:bookmarkEnd w:id="0"/>
    </w:p>
    <w:p w:rsidR="00C978DD" w:rsidRPr="002A210C" w:rsidRDefault="002A210C" w:rsidP="00453124">
      <w:pPr>
        <w:spacing w:before="120" w:after="0" w:line="240" w:lineRule="auto"/>
        <w:contextualSpacing/>
        <w:rPr>
          <w:b/>
          <w:sz w:val="20"/>
          <w:szCs w:val="20"/>
        </w:rPr>
      </w:pPr>
      <w:r w:rsidRPr="002A210C">
        <w:rPr>
          <w:b/>
          <w:sz w:val="20"/>
          <w:szCs w:val="20"/>
        </w:rPr>
        <w:t>Fluorometric</w:t>
      </w:r>
      <w:r w:rsidR="00453124">
        <w:rPr>
          <w:b/>
          <w:sz w:val="20"/>
          <w:szCs w:val="20"/>
        </w:rPr>
        <w:t xml:space="preserve"> Procedure</w:t>
      </w:r>
    </w:p>
    <w:p w:rsidR="00C978DD" w:rsidRPr="003B4C61" w:rsidRDefault="00C978DD" w:rsidP="00453124">
      <w:pPr>
        <w:pStyle w:val="ListParagraph"/>
        <w:spacing w:before="120" w:after="0" w:line="240" w:lineRule="auto"/>
        <w:ind w:left="360"/>
        <w:rPr>
          <w:sz w:val="20"/>
          <w:szCs w:val="20"/>
        </w:rPr>
      </w:pPr>
      <w:r w:rsidRPr="00C978DD">
        <w:rPr>
          <w:sz w:val="20"/>
          <w:szCs w:val="20"/>
        </w:rPr>
        <w:t xml:space="preserve">For </w:t>
      </w:r>
      <w:r w:rsidR="002A210C">
        <w:rPr>
          <w:sz w:val="20"/>
          <w:szCs w:val="20"/>
        </w:rPr>
        <w:t>fluorometric</w:t>
      </w:r>
      <w:r w:rsidRPr="00C978DD">
        <w:rPr>
          <w:sz w:val="20"/>
          <w:szCs w:val="20"/>
        </w:rPr>
        <w:t xml:space="preserve"> assays, the linear det</w:t>
      </w:r>
      <w:r w:rsidR="003B4C61">
        <w:rPr>
          <w:sz w:val="20"/>
          <w:szCs w:val="20"/>
        </w:rPr>
        <w:t xml:space="preserve">ection range is 0.2 to 20 μg/mL </w:t>
      </w:r>
      <w:r w:rsidRPr="003B4C61">
        <w:rPr>
          <w:sz w:val="20"/>
          <w:szCs w:val="20"/>
        </w:rPr>
        <w:t>glycogen. Follow steps 1-3 of the colorimetr</w:t>
      </w:r>
      <w:r w:rsidR="003B4C61" w:rsidRPr="003B4C61">
        <w:rPr>
          <w:sz w:val="20"/>
          <w:szCs w:val="20"/>
        </w:rPr>
        <w:t xml:space="preserve">ic procedure, but prepare 0, 5, </w:t>
      </w:r>
      <w:r w:rsidRPr="003B4C61">
        <w:rPr>
          <w:sz w:val="20"/>
          <w:szCs w:val="20"/>
        </w:rPr>
        <w:t xml:space="preserve">10, 15 and 20 μg/mL Standard and use </w:t>
      </w:r>
      <w:r w:rsidR="003B4C61" w:rsidRPr="003B4C61">
        <w:rPr>
          <w:sz w:val="20"/>
          <w:szCs w:val="20"/>
        </w:rPr>
        <w:t xml:space="preserve">a black flat-bottom microplate. </w:t>
      </w:r>
      <w:r w:rsidRPr="003B4C61">
        <w:rPr>
          <w:sz w:val="20"/>
          <w:szCs w:val="20"/>
        </w:rPr>
        <w:t xml:space="preserve">Incubate 30 min at room temperature and read fluorescence at </w:t>
      </w:r>
      <w:proofErr w:type="spellStart"/>
      <w:r w:rsidRPr="003B4C61">
        <w:rPr>
          <w:sz w:val="20"/>
          <w:szCs w:val="20"/>
        </w:rPr>
        <w:t>λ</w:t>
      </w:r>
      <w:r w:rsidRPr="003B4C61">
        <w:rPr>
          <w:sz w:val="20"/>
          <w:szCs w:val="20"/>
          <w:vertAlign w:val="subscript"/>
        </w:rPr>
        <w:t>ex</w:t>
      </w:r>
      <w:proofErr w:type="spellEnd"/>
      <w:r w:rsidR="003B4C61" w:rsidRPr="003B4C61">
        <w:rPr>
          <w:sz w:val="20"/>
          <w:szCs w:val="20"/>
        </w:rPr>
        <w:t xml:space="preserve"> = 530 </w:t>
      </w:r>
      <w:r w:rsidRPr="003B4C61">
        <w:rPr>
          <w:sz w:val="20"/>
          <w:szCs w:val="20"/>
        </w:rPr>
        <w:t xml:space="preserve">nm and </w:t>
      </w:r>
      <w:proofErr w:type="spellStart"/>
      <w:r w:rsidRPr="003B4C61">
        <w:rPr>
          <w:sz w:val="20"/>
          <w:szCs w:val="20"/>
        </w:rPr>
        <w:t>λ</w:t>
      </w:r>
      <w:r w:rsidRPr="003B4C61">
        <w:rPr>
          <w:sz w:val="20"/>
          <w:szCs w:val="20"/>
          <w:vertAlign w:val="subscript"/>
        </w:rPr>
        <w:t>em</w:t>
      </w:r>
      <w:proofErr w:type="spellEnd"/>
      <w:r w:rsidRPr="003B4C61">
        <w:rPr>
          <w:sz w:val="20"/>
          <w:szCs w:val="20"/>
        </w:rPr>
        <w:t xml:space="preserve"> = 585 nm.</w:t>
      </w:r>
    </w:p>
    <w:p w:rsidR="00B71093" w:rsidRPr="00E16C7F" w:rsidRDefault="00453124" w:rsidP="00453124">
      <w:pPr>
        <w:spacing w:before="12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Calculations</w:t>
      </w:r>
    </w:p>
    <w:p w:rsidR="00C978DD" w:rsidRDefault="00C978DD" w:rsidP="00453124">
      <w:pPr>
        <w:spacing w:before="120" w:after="0" w:line="240" w:lineRule="auto"/>
        <w:ind w:left="450"/>
        <w:contextualSpacing/>
        <w:rPr>
          <w:sz w:val="20"/>
          <w:szCs w:val="20"/>
        </w:rPr>
      </w:pPr>
      <w:r w:rsidRPr="00C978DD">
        <w:rPr>
          <w:sz w:val="20"/>
          <w:szCs w:val="20"/>
        </w:rPr>
        <w:t>Subtract Blank reading (OD</w:t>
      </w:r>
      <w:r w:rsidRPr="003B4C61">
        <w:rPr>
          <w:sz w:val="20"/>
          <w:szCs w:val="20"/>
          <w:vertAlign w:val="subscript"/>
        </w:rPr>
        <w:t>570nm</w:t>
      </w:r>
      <w:r w:rsidRPr="00C978DD">
        <w:rPr>
          <w:sz w:val="20"/>
          <w:szCs w:val="20"/>
        </w:rPr>
        <w:t xml:space="preserve"> or f</w:t>
      </w:r>
      <w:r w:rsidR="003B4C61">
        <w:rPr>
          <w:sz w:val="20"/>
          <w:szCs w:val="20"/>
        </w:rPr>
        <w:t xml:space="preserve">luorescence intensity) from the </w:t>
      </w:r>
      <w:r w:rsidRPr="00C978DD">
        <w:rPr>
          <w:sz w:val="20"/>
          <w:szCs w:val="20"/>
        </w:rPr>
        <w:t>standard reading values and plot</w:t>
      </w:r>
      <w:r w:rsidR="003B4C61">
        <w:rPr>
          <w:sz w:val="20"/>
          <w:szCs w:val="20"/>
        </w:rPr>
        <w:t xml:space="preserve"> the ΔOD or ΔF against standard </w:t>
      </w:r>
      <w:r w:rsidRPr="00C978DD">
        <w:rPr>
          <w:sz w:val="20"/>
          <w:szCs w:val="20"/>
        </w:rPr>
        <w:t>concentrations. Determine the s</w:t>
      </w:r>
      <w:r w:rsidR="003B4C61">
        <w:rPr>
          <w:sz w:val="20"/>
          <w:szCs w:val="20"/>
        </w:rPr>
        <w:t xml:space="preserve">lope and calculate the glycogen </w:t>
      </w:r>
      <w:r w:rsidRPr="00C978DD">
        <w:rPr>
          <w:sz w:val="20"/>
          <w:szCs w:val="20"/>
        </w:rPr>
        <w:t>concentration of the sample.</w:t>
      </w:r>
      <w:r w:rsidR="00453124">
        <w:rPr>
          <w:sz w:val="20"/>
          <w:szCs w:val="20"/>
        </w:rPr>
        <w:br/>
      </w:r>
    </w:p>
    <w:p w:rsidR="003B4C61" w:rsidRPr="00C978DD" w:rsidRDefault="003B4C61" w:rsidP="00453124">
      <w:pPr>
        <w:spacing w:before="120" w:after="0" w:line="240" w:lineRule="auto"/>
        <w:ind w:left="450"/>
        <w:contextualSpacing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AF1BE8C" wp14:editId="44E5D2C0">
            <wp:extent cx="2038350" cy="35306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847" cy="3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7F" w:rsidRPr="000056C6" w:rsidRDefault="00453124" w:rsidP="00453124">
      <w:pPr>
        <w:spacing w:before="120" w:after="0" w:line="240" w:lineRule="auto"/>
        <w:ind w:left="45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C978DD" w:rsidRPr="00C978DD">
        <w:rPr>
          <w:sz w:val="20"/>
          <w:szCs w:val="20"/>
        </w:rPr>
        <w:t>R</w:t>
      </w:r>
      <w:r w:rsidR="00C978DD" w:rsidRPr="00961C38">
        <w:rPr>
          <w:sz w:val="20"/>
          <w:szCs w:val="20"/>
          <w:vertAlign w:val="subscript"/>
        </w:rPr>
        <w:t>SAMPLE</w:t>
      </w:r>
      <w:r w:rsidR="00C978DD" w:rsidRPr="00C978DD">
        <w:rPr>
          <w:sz w:val="20"/>
          <w:szCs w:val="20"/>
        </w:rPr>
        <w:t xml:space="preserve"> and R</w:t>
      </w:r>
      <w:r w:rsidR="00C978DD" w:rsidRPr="00961C38">
        <w:rPr>
          <w:sz w:val="20"/>
          <w:szCs w:val="20"/>
          <w:vertAlign w:val="subscript"/>
        </w:rPr>
        <w:t>BLANK</w:t>
      </w:r>
      <w:r w:rsidR="00C978DD" w:rsidRPr="00C978DD">
        <w:rPr>
          <w:sz w:val="20"/>
          <w:szCs w:val="20"/>
        </w:rPr>
        <w:t xml:space="preserve"> are the OD</w:t>
      </w:r>
      <w:r w:rsidR="00C978DD" w:rsidRPr="00961C38">
        <w:rPr>
          <w:sz w:val="20"/>
          <w:szCs w:val="20"/>
          <w:vertAlign w:val="subscript"/>
        </w:rPr>
        <w:t>570nm</w:t>
      </w:r>
      <w:r w:rsidR="00C978DD" w:rsidRPr="00C978DD">
        <w:rPr>
          <w:sz w:val="20"/>
          <w:szCs w:val="20"/>
        </w:rPr>
        <w:t xml:space="preserve"> or fluor</w:t>
      </w:r>
      <w:r w:rsidR="00961C38">
        <w:rPr>
          <w:sz w:val="20"/>
          <w:szCs w:val="20"/>
        </w:rPr>
        <w:t xml:space="preserve">escence intensity values of the </w:t>
      </w:r>
      <w:r w:rsidR="00C978DD" w:rsidRPr="00C978DD">
        <w:rPr>
          <w:sz w:val="20"/>
          <w:szCs w:val="20"/>
        </w:rPr>
        <w:t>sample and blank (water, or sample blank, see below).</w:t>
      </w:r>
    </w:p>
    <w:p w:rsidR="00453124" w:rsidRDefault="00453124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271218" w:rsidRPr="00D509BF" w:rsidRDefault="00271218" w:rsidP="00D509BF">
      <w:pPr>
        <w:spacing w:before="240" w:after="120" w:line="240" w:lineRule="auto"/>
        <w:rPr>
          <w:b/>
          <w:sz w:val="24"/>
          <w:szCs w:val="20"/>
        </w:rPr>
      </w:pPr>
      <w:r w:rsidRPr="00D509BF">
        <w:rPr>
          <w:b/>
          <w:sz w:val="24"/>
          <w:szCs w:val="20"/>
        </w:rPr>
        <w:lastRenderedPageBreak/>
        <w:t>Sample Data</w:t>
      </w:r>
    </w:p>
    <w:p w:rsidR="000206FA" w:rsidRDefault="003B4C61" w:rsidP="00271218">
      <w:pPr>
        <w:spacing w:beforeLines="40" w:before="96" w:afterLines="40" w:after="96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4AC0BC3" wp14:editId="29F92CC9">
            <wp:extent cx="4661851" cy="215660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1851" cy="215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83" w:rsidRDefault="00CF1783" w:rsidP="00271218">
      <w:pPr>
        <w:spacing w:beforeLines="40" w:before="96" w:afterLines="40" w:after="96" w:line="240" w:lineRule="auto"/>
        <w:jc w:val="center"/>
        <w:rPr>
          <w:sz w:val="20"/>
          <w:szCs w:val="20"/>
        </w:rPr>
      </w:pPr>
    </w:p>
    <w:p w:rsidR="00CF1783" w:rsidRDefault="00CF1783" w:rsidP="00271218">
      <w:pPr>
        <w:spacing w:beforeLines="40" w:before="96" w:afterLines="40" w:after="96" w:line="240" w:lineRule="auto"/>
        <w:jc w:val="center"/>
        <w:rPr>
          <w:sz w:val="20"/>
          <w:szCs w:val="20"/>
        </w:rPr>
      </w:pPr>
    </w:p>
    <w:p w:rsidR="00CF1783" w:rsidRDefault="00CF1783" w:rsidP="00CF1783">
      <w:pPr>
        <w:spacing w:beforeLines="40" w:before="96" w:afterLines="40" w:after="96" w:line="240" w:lineRule="auto"/>
        <w:rPr>
          <w:sz w:val="20"/>
          <w:szCs w:val="20"/>
        </w:rPr>
      </w:pPr>
      <w:r>
        <w:rPr>
          <w:sz w:val="20"/>
          <w:szCs w:val="20"/>
        </w:rPr>
        <w:t>Version: V.08.09.2018</w:t>
      </w:r>
    </w:p>
    <w:p w:rsidR="00CF1783" w:rsidRPr="00271218" w:rsidRDefault="00CF1783" w:rsidP="00271218">
      <w:pPr>
        <w:spacing w:beforeLines="40" w:before="96" w:afterLines="40" w:after="96" w:line="240" w:lineRule="auto"/>
        <w:jc w:val="center"/>
        <w:rPr>
          <w:sz w:val="20"/>
          <w:szCs w:val="20"/>
        </w:rPr>
      </w:pPr>
    </w:p>
    <w:sectPr w:rsidR="00CF1783" w:rsidRPr="00271218" w:rsidSect="00231570">
      <w:headerReference w:type="default" r:id="rId10"/>
      <w:footerReference w:type="default" r:id="rId11"/>
      <w:pgSz w:w="12240" w:h="15840"/>
      <w:pgMar w:top="1980" w:right="1080" w:bottom="144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E5" w:rsidRDefault="007300E5" w:rsidP="007300E5">
      <w:pPr>
        <w:spacing w:after="0" w:line="240" w:lineRule="auto"/>
      </w:pPr>
      <w:r>
        <w:separator/>
      </w:r>
    </w:p>
  </w:endnote>
  <w:endnote w:type="continuationSeparator" w:id="0">
    <w:p w:rsidR="007300E5" w:rsidRDefault="007300E5" w:rsidP="0073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70" w:rsidRDefault="00F10D00" w:rsidP="00E364C3">
    <w:pPr>
      <w:spacing w:after="0" w:line="240" w:lineRule="auto"/>
      <w:jc w:val="center"/>
      <w:rPr>
        <w:sz w:val="28"/>
      </w:rPr>
    </w:pPr>
    <w:r>
      <w:rPr>
        <w:sz w:val="28"/>
      </w:rPr>
      <w:pict>
        <v:rect id="_x0000_i1025" style="width:549pt;height:1pt" o:hralign="center" o:hrstd="t" o:hrnoshade="t" o:hr="t" fillcolor="#a5a5a5 [2092]" stroked="f"/>
      </w:pict>
    </w:r>
  </w:p>
  <w:p w:rsidR="00E364C3" w:rsidRPr="00E364C3" w:rsidRDefault="00E364C3" w:rsidP="00E364C3">
    <w:pPr>
      <w:spacing w:after="0" w:line="240" w:lineRule="auto"/>
      <w:jc w:val="center"/>
      <w:rPr>
        <w:b/>
        <w:sz w:val="28"/>
      </w:rPr>
    </w:pPr>
    <w:r w:rsidRPr="00E364C3">
      <w:rPr>
        <w:b/>
        <w:sz w:val="28"/>
      </w:rPr>
      <w:t xml:space="preserve">FOR RESEARCH USE ONLY! </w:t>
    </w:r>
    <w:r w:rsidR="00231570">
      <w:rPr>
        <w:b/>
        <w:sz w:val="28"/>
      </w:rPr>
      <w:t xml:space="preserve">  </w:t>
    </w:r>
    <w:r w:rsidRPr="00E364C3">
      <w:rPr>
        <w:b/>
        <w:sz w:val="28"/>
      </w:rPr>
      <w:t xml:space="preserve">Not </w:t>
    </w:r>
    <w:r w:rsidR="00231570">
      <w:rPr>
        <w:b/>
        <w:sz w:val="28"/>
      </w:rPr>
      <w:t xml:space="preserve">for use in </w:t>
    </w:r>
    <w:r w:rsidRPr="00E364C3">
      <w:rPr>
        <w:b/>
        <w:sz w:val="28"/>
      </w:rPr>
      <w:t>humans.</w:t>
    </w:r>
  </w:p>
  <w:p w:rsidR="00231570" w:rsidRDefault="00E364C3" w:rsidP="00D509BF">
    <w:pPr>
      <w:spacing w:after="0" w:line="240" w:lineRule="auto"/>
      <w:ind w:left="-360" w:right="-540"/>
      <w:jc w:val="center"/>
      <w:rPr>
        <w:sz w:val="20"/>
      </w:rPr>
    </w:pPr>
    <w:r w:rsidRPr="00271218">
      <w:rPr>
        <w:sz w:val="20"/>
      </w:rPr>
      <w:t xml:space="preserve">LifeSpan BioSciences, Inc. </w:t>
    </w:r>
    <w:r w:rsidR="00231570" w:rsidRPr="00271218">
      <w:rPr>
        <w:sz w:val="20"/>
      </w:rPr>
      <w:t xml:space="preserve">  •  </w:t>
    </w:r>
    <w:r w:rsidR="00231570">
      <w:rPr>
        <w:sz w:val="20"/>
      </w:rPr>
      <w:t xml:space="preserve"> </w:t>
    </w:r>
    <w:r w:rsidRPr="00271218">
      <w:rPr>
        <w:sz w:val="20"/>
      </w:rPr>
      <w:t>2401 Fourth Avenue, Suite 900, Seattle</w:t>
    </w:r>
    <w:r w:rsidR="00D741FD">
      <w:rPr>
        <w:sz w:val="20"/>
      </w:rPr>
      <w:t>,</w:t>
    </w:r>
    <w:r w:rsidRPr="00271218">
      <w:rPr>
        <w:sz w:val="20"/>
      </w:rPr>
      <w:t xml:space="preserve"> WA 98121</w:t>
    </w:r>
    <w:r w:rsidR="00271218">
      <w:rPr>
        <w:sz w:val="20"/>
      </w:rPr>
      <w:t xml:space="preserve"> </w:t>
    </w:r>
  </w:p>
  <w:p w:rsidR="00E364C3" w:rsidRPr="00271218" w:rsidRDefault="00F10D00" w:rsidP="00D509BF">
    <w:pPr>
      <w:spacing w:after="0" w:line="240" w:lineRule="auto"/>
      <w:ind w:left="-360" w:right="-540"/>
      <w:jc w:val="center"/>
      <w:rPr>
        <w:sz w:val="20"/>
      </w:rPr>
    </w:pPr>
    <w:hyperlink r:id="rId1" w:history="1">
      <w:r w:rsidR="00231570" w:rsidRPr="00D97714">
        <w:rPr>
          <w:rStyle w:val="Hyperlink"/>
          <w:sz w:val="20"/>
        </w:rPr>
        <w:t>www.LSBio.com</w:t>
      </w:r>
    </w:hyperlink>
    <w:r w:rsidR="00231570" w:rsidRPr="00271218">
      <w:rPr>
        <w:sz w:val="20"/>
      </w:rPr>
      <w:t xml:space="preserve">  •  </w:t>
    </w:r>
    <w:r w:rsidR="00231570">
      <w:rPr>
        <w:sz w:val="20"/>
      </w:rPr>
      <w:t xml:space="preserve"> </w:t>
    </w:r>
    <w:r w:rsidR="00E364C3" w:rsidRPr="00271218">
      <w:rPr>
        <w:sz w:val="20"/>
      </w:rPr>
      <w:t>(206) 464-</w:t>
    </w:r>
    <w:proofErr w:type="gramStart"/>
    <w:r w:rsidR="00E364C3" w:rsidRPr="00271218">
      <w:rPr>
        <w:sz w:val="20"/>
      </w:rPr>
      <w:t>1554  •</w:t>
    </w:r>
    <w:proofErr w:type="gramEnd"/>
    <w:r w:rsidR="00E364C3" w:rsidRPr="00271218">
      <w:rPr>
        <w:sz w:val="20"/>
      </w:rPr>
      <w:t xml:space="preserve">  </w:t>
    </w:r>
    <w:r w:rsidR="00D509BF">
      <w:rPr>
        <w:sz w:val="20"/>
      </w:rPr>
      <w:t xml:space="preserve"> </w:t>
    </w:r>
    <w:hyperlink r:id="rId2" w:history="1">
      <w:r w:rsidR="00D509BF" w:rsidRPr="00D97714">
        <w:rPr>
          <w:rStyle w:val="Hyperlink"/>
          <w:sz w:val="20"/>
        </w:rPr>
        <w:t>TechnicalSupport@LSBio.com</w:t>
      </w:r>
    </w:hyperlink>
    <w:r w:rsidR="00E364C3" w:rsidRPr="00271218"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E5" w:rsidRDefault="007300E5" w:rsidP="007300E5">
      <w:pPr>
        <w:spacing w:after="0" w:line="240" w:lineRule="auto"/>
      </w:pPr>
      <w:r>
        <w:separator/>
      </w:r>
    </w:p>
  </w:footnote>
  <w:footnote w:type="continuationSeparator" w:id="0">
    <w:p w:rsidR="007300E5" w:rsidRDefault="007300E5" w:rsidP="0073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D5" w:rsidRDefault="007300E5" w:rsidP="007306BB">
    <w:pPr>
      <w:tabs>
        <w:tab w:val="center" w:pos="6840"/>
        <w:tab w:val="right" w:pos="9360"/>
      </w:tabs>
      <w:spacing w:after="0" w:line="240" w:lineRule="auto"/>
      <w:ind w:right="3240"/>
      <w:rPr>
        <w:b/>
        <w:color w:val="23549D"/>
        <w:sz w:val="40"/>
      </w:rPr>
    </w:pPr>
    <w:r w:rsidRPr="007306BB">
      <w:rPr>
        <w:b/>
        <w:noProof/>
        <w:color w:val="23549D"/>
        <w:sz w:val="40"/>
      </w:rPr>
      <w:drawing>
        <wp:anchor distT="0" distB="0" distL="114300" distR="114300" simplePos="0" relativeHeight="251658240" behindDoc="0" locked="0" layoutInCell="1" allowOverlap="1" wp14:anchorId="6411874C" wp14:editId="0F806DC4">
          <wp:simplePos x="0" y="0"/>
          <wp:positionH relativeFrom="margin">
            <wp:align>right</wp:align>
          </wp:positionH>
          <wp:positionV relativeFrom="paragraph">
            <wp:posOffset>-78750</wp:posOffset>
          </wp:positionV>
          <wp:extent cx="1952917" cy="750627"/>
          <wp:effectExtent l="0" t="0" r="9525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bio_logo.Pantone.653.CV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917" cy="75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6C6" w:rsidRPr="000056C6">
      <w:rPr>
        <w:b/>
        <w:noProof/>
        <w:color w:val="23549D"/>
        <w:sz w:val="40"/>
      </w:rPr>
      <w:t>Glycogen Assay Kit</w:t>
    </w:r>
    <w:r w:rsidR="00AB73D5" w:rsidRPr="00A54506">
      <w:rPr>
        <w:b/>
        <w:color w:val="23549D"/>
        <w:sz w:val="40"/>
      </w:rPr>
      <w:t xml:space="preserve"> </w:t>
    </w:r>
  </w:p>
  <w:p w:rsidR="007300E5" w:rsidRPr="00A54506" w:rsidRDefault="007300E5" w:rsidP="007306BB">
    <w:pPr>
      <w:tabs>
        <w:tab w:val="center" w:pos="6840"/>
        <w:tab w:val="right" w:pos="9360"/>
      </w:tabs>
      <w:spacing w:after="0" w:line="240" w:lineRule="auto"/>
      <w:ind w:right="3240"/>
      <w:rPr>
        <w:b/>
        <w:color w:val="23549D"/>
        <w:sz w:val="32"/>
      </w:rPr>
    </w:pPr>
    <w:r w:rsidRPr="00A54506">
      <w:rPr>
        <w:b/>
        <w:color w:val="23549D"/>
        <w:sz w:val="40"/>
      </w:rPr>
      <w:t>(</w:t>
    </w:r>
    <w:r w:rsidR="000056C6" w:rsidRPr="000056C6">
      <w:rPr>
        <w:b/>
        <w:color w:val="23549D"/>
        <w:sz w:val="40"/>
      </w:rPr>
      <w:t>Colorimetric/</w:t>
    </w:r>
    <w:r w:rsidR="002A210C">
      <w:rPr>
        <w:b/>
        <w:color w:val="23549D"/>
        <w:sz w:val="40"/>
      </w:rPr>
      <w:t>Fluoro</w:t>
    </w:r>
    <w:r w:rsidR="000056C6" w:rsidRPr="000056C6">
      <w:rPr>
        <w:b/>
        <w:color w:val="23549D"/>
        <w:sz w:val="40"/>
      </w:rPr>
      <w:t>metric</w:t>
    </w:r>
    <w:r w:rsidRPr="00A54506">
      <w:rPr>
        <w:b/>
        <w:color w:val="23549D"/>
        <w:sz w:val="40"/>
      </w:rPr>
      <w:t>)</w:t>
    </w:r>
    <w:r w:rsidRPr="00A54506">
      <w:rPr>
        <w:b/>
        <w:color w:val="23549D"/>
        <w:sz w:val="32"/>
      </w:rPr>
      <w:tab/>
    </w:r>
    <w:r w:rsidRPr="00A54506">
      <w:rPr>
        <w:b/>
        <w:color w:val="23549D"/>
        <w:sz w:val="32"/>
      </w:rPr>
      <w:tab/>
    </w:r>
  </w:p>
  <w:p w:rsidR="00D509BF" w:rsidRDefault="004C2A4C" w:rsidP="00231570">
    <w:pPr>
      <w:pBdr>
        <w:bottom w:val="single" w:sz="12" w:space="0" w:color="auto"/>
      </w:pBdr>
      <w:spacing w:after="0" w:line="240" w:lineRule="auto"/>
    </w:pPr>
    <w:r>
      <w:t>LS-K183-100</w:t>
    </w:r>
    <w:r w:rsidR="00D509BF">
      <w:t xml:space="preserve"> (</w:t>
    </w:r>
    <w:r w:rsidR="007306BB">
      <w:t>100 Tests</w:t>
    </w:r>
    <w:r w:rsidR="00D509BF">
      <w:t xml:space="preserve">) • </w:t>
    </w:r>
    <w:r w:rsidR="00D509BF" w:rsidRPr="00D509BF">
      <w:rPr>
        <w:b/>
      </w:rPr>
      <w:t>Store at -20°C</w:t>
    </w:r>
    <w:r w:rsidR="00D509BF">
      <w:t xml:space="preserve"> </w:t>
    </w:r>
  </w:p>
  <w:p w:rsidR="00D509BF" w:rsidRPr="00D509BF" w:rsidRDefault="00D509BF" w:rsidP="00231570">
    <w:pPr>
      <w:pBdr>
        <w:bottom w:val="single" w:sz="12" w:space="0" w:color="auto"/>
      </w:pBdr>
      <w:spacing w:after="0" w:line="240" w:lineRule="aut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DA0"/>
    <w:multiLevelType w:val="hybridMultilevel"/>
    <w:tmpl w:val="F25A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6FA"/>
    <w:multiLevelType w:val="hybridMultilevel"/>
    <w:tmpl w:val="9F50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451A"/>
    <w:multiLevelType w:val="hybridMultilevel"/>
    <w:tmpl w:val="AE8E30B2"/>
    <w:lvl w:ilvl="0" w:tplc="16E22E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AC0B3F"/>
    <w:multiLevelType w:val="hybridMultilevel"/>
    <w:tmpl w:val="599A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2262"/>
    <w:multiLevelType w:val="hybridMultilevel"/>
    <w:tmpl w:val="9314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B30"/>
    <w:multiLevelType w:val="hybridMultilevel"/>
    <w:tmpl w:val="A0E4E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B5C3F"/>
    <w:multiLevelType w:val="hybridMultilevel"/>
    <w:tmpl w:val="4ED496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97ACB"/>
    <w:multiLevelType w:val="hybridMultilevel"/>
    <w:tmpl w:val="0C24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56CF"/>
    <w:multiLevelType w:val="hybridMultilevel"/>
    <w:tmpl w:val="32647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A4396"/>
    <w:multiLevelType w:val="hybridMultilevel"/>
    <w:tmpl w:val="39FA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7BA1"/>
    <w:multiLevelType w:val="hybridMultilevel"/>
    <w:tmpl w:val="B66CC64E"/>
    <w:lvl w:ilvl="0" w:tplc="805CD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A7B0A1D"/>
    <w:multiLevelType w:val="hybridMultilevel"/>
    <w:tmpl w:val="87F67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C2"/>
    <w:rsid w:val="000056C6"/>
    <w:rsid w:val="00016567"/>
    <w:rsid w:val="000206FA"/>
    <w:rsid w:val="00023CAE"/>
    <w:rsid w:val="00033A38"/>
    <w:rsid w:val="00037897"/>
    <w:rsid w:val="000505C5"/>
    <w:rsid w:val="00052737"/>
    <w:rsid w:val="00067ABF"/>
    <w:rsid w:val="00071111"/>
    <w:rsid w:val="000828C0"/>
    <w:rsid w:val="00086906"/>
    <w:rsid w:val="000A33C9"/>
    <w:rsid w:val="000C13A9"/>
    <w:rsid w:val="000C3C05"/>
    <w:rsid w:val="000C447B"/>
    <w:rsid w:val="000D4199"/>
    <w:rsid w:val="000E36C6"/>
    <w:rsid w:val="000E5983"/>
    <w:rsid w:val="000E6971"/>
    <w:rsid w:val="0012110A"/>
    <w:rsid w:val="001276FF"/>
    <w:rsid w:val="001363D5"/>
    <w:rsid w:val="00180DA4"/>
    <w:rsid w:val="00195B6F"/>
    <w:rsid w:val="001970C0"/>
    <w:rsid w:val="001C13BF"/>
    <w:rsid w:val="001C6712"/>
    <w:rsid w:val="001C7A8C"/>
    <w:rsid w:val="001E62F7"/>
    <w:rsid w:val="001E6C0D"/>
    <w:rsid w:val="002062E4"/>
    <w:rsid w:val="00210A70"/>
    <w:rsid w:val="002144F9"/>
    <w:rsid w:val="00221628"/>
    <w:rsid w:val="00224E35"/>
    <w:rsid w:val="00231570"/>
    <w:rsid w:val="0023382F"/>
    <w:rsid w:val="00245D8C"/>
    <w:rsid w:val="00264DBF"/>
    <w:rsid w:val="00271218"/>
    <w:rsid w:val="00292D45"/>
    <w:rsid w:val="002A210C"/>
    <w:rsid w:val="002C005A"/>
    <w:rsid w:val="002C2893"/>
    <w:rsid w:val="002C2C7F"/>
    <w:rsid w:val="002D21CB"/>
    <w:rsid w:val="002E4011"/>
    <w:rsid w:val="002E4AD7"/>
    <w:rsid w:val="002F23AD"/>
    <w:rsid w:val="00307A5F"/>
    <w:rsid w:val="00323ABD"/>
    <w:rsid w:val="003440B4"/>
    <w:rsid w:val="0035305A"/>
    <w:rsid w:val="00356CBF"/>
    <w:rsid w:val="00360996"/>
    <w:rsid w:val="00364A95"/>
    <w:rsid w:val="0038541E"/>
    <w:rsid w:val="00385A30"/>
    <w:rsid w:val="0039193F"/>
    <w:rsid w:val="003940E7"/>
    <w:rsid w:val="003A7BFB"/>
    <w:rsid w:val="003B4C61"/>
    <w:rsid w:val="003B66AD"/>
    <w:rsid w:val="003C097E"/>
    <w:rsid w:val="003C49A8"/>
    <w:rsid w:val="003C5175"/>
    <w:rsid w:val="003D08CC"/>
    <w:rsid w:val="003D62DC"/>
    <w:rsid w:val="003D659B"/>
    <w:rsid w:val="003E3212"/>
    <w:rsid w:val="003E579E"/>
    <w:rsid w:val="003F541F"/>
    <w:rsid w:val="00402918"/>
    <w:rsid w:val="00402CA7"/>
    <w:rsid w:val="00402F67"/>
    <w:rsid w:val="0043146D"/>
    <w:rsid w:val="00432485"/>
    <w:rsid w:val="00433C75"/>
    <w:rsid w:val="0044165E"/>
    <w:rsid w:val="0044304F"/>
    <w:rsid w:val="00453124"/>
    <w:rsid w:val="00456BBF"/>
    <w:rsid w:val="00460AF8"/>
    <w:rsid w:val="0046475F"/>
    <w:rsid w:val="00466E3A"/>
    <w:rsid w:val="00467E8C"/>
    <w:rsid w:val="004847F9"/>
    <w:rsid w:val="0048598C"/>
    <w:rsid w:val="004A04D8"/>
    <w:rsid w:val="004A3561"/>
    <w:rsid w:val="004B315F"/>
    <w:rsid w:val="004C1EC7"/>
    <w:rsid w:val="004C2A4C"/>
    <w:rsid w:val="004D43C4"/>
    <w:rsid w:val="004F376E"/>
    <w:rsid w:val="00541C2C"/>
    <w:rsid w:val="005457C4"/>
    <w:rsid w:val="00556B99"/>
    <w:rsid w:val="00557ABA"/>
    <w:rsid w:val="00567659"/>
    <w:rsid w:val="00573687"/>
    <w:rsid w:val="005970E6"/>
    <w:rsid w:val="005A04EE"/>
    <w:rsid w:val="005B3C6A"/>
    <w:rsid w:val="005B6DEF"/>
    <w:rsid w:val="005C419B"/>
    <w:rsid w:val="005D3FB9"/>
    <w:rsid w:val="005F0F4A"/>
    <w:rsid w:val="00631330"/>
    <w:rsid w:val="00632585"/>
    <w:rsid w:val="00641787"/>
    <w:rsid w:val="00645D64"/>
    <w:rsid w:val="006600DB"/>
    <w:rsid w:val="00673B9F"/>
    <w:rsid w:val="006A2CF0"/>
    <w:rsid w:val="006B1327"/>
    <w:rsid w:val="006B5637"/>
    <w:rsid w:val="006C672A"/>
    <w:rsid w:val="006D1D51"/>
    <w:rsid w:val="006F0D5E"/>
    <w:rsid w:val="00702851"/>
    <w:rsid w:val="00707435"/>
    <w:rsid w:val="007300E5"/>
    <w:rsid w:val="007306BB"/>
    <w:rsid w:val="00731C01"/>
    <w:rsid w:val="00737014"/>
    <w:rsid w:val="00743B33"/>
    <w:rsid w:val="00754D59"/>
    <w:rsid w:val="007800D9"/>
    <w:rsid w:val="00782235"/>
    <w:rsid w:val="00796D9B"/>
    <w:rsid w:val="007B28E2"/>
    <w:rsid w:val="007B4EF2"/>
    <w:rsid w:val="007C1CCC"/>
    <w:rsid w:val="007C664D"/>
    <w:rsid w:val="007E19C0"/>
    <w:rsid w:val="007E5661"/>
    <w:rsid w:val="007F33D7"/>
    <w:rsid w:val="00827908"/>
    <w:rsid w:val="008404D7"/>
    <w:rsid w:val="00874CD5"/>
    <w:rsid w:val="00884BEB"/>
    <w:rsid w:val="008B3C26"/>
    <w:rsid w:val="008B7612"/>
    <w:rsid w:val="008C19B8"/>
    <w:rsid w:val="009048EB"/>
    <w:rsid w:val="009061E5"/>
    <w:rsid w:val="00910971"/>
    <w:rsid w:val="00922F4B"/>
    <w:rsid w:val="0094675A"/>
    <w:rsid w:val="009500FB"/>
    <w:rsid w:val="00961C38"/>
    <w:rsid w:val="0099199C"/>
    <w:rsid w:val="00991FD6"/>
    <w:rsid w:val="00996AC8"/>
    <w:rsid w:val="009A5410"/>
    <w:rsid w:val="009B25D3"/>
    <w:rsid w:val="009C2E6F"/>
    <w:rsid w:val="009D17E6"/>
    <w:rsid w:val="009D56B3"/>
    <w:rsid w:val="009E20C6"/>
    <w:rsid w:val="009E76F3"/>
    <w:rsid w:val="00A01BD9"/>
    <w:rsid w:val="00A13E2F"/>
    <w:rsid w:val="00A15C20"/>
    <w:rsid w:val="00A2675D"/>
    <w:rsid w:val="00A308ED"/>
    <w:rsid w:val="00A37E44"/>
    <w:rsid w:val="00A54506"/>
    <w:rsid w:val="00A60BF8"/>
    <w:rsid w:val="00A648FE"/>
    <w:rsid w:val="00A73850"/>
    <w:rsid w:val="00A7583F"/>
    <w:rsid w:val="00A80448"/>
    <w:rsid w:val="00A80864"/>
    <w:rsid w:val="00A83503"/>
    <w:rsid w:val="00A8452F"/>
    <w:rsid w:val="00AB6A0C"/>
    <w:rsid w:val="00AB73D5"/>
    <w:rsid w:val="00AE5686"/>
    <w:rsid w:val="00AF0E30"/>
    <w:rsid w:val="00B0000F"/>
    <w:rsid w:val="00B04396"/>
    <w:rsid w:val="00B10754"/>
    <w:rsid w:val="00B1422B"/>
    <w:rsid w:val="00B200F9"/>
    <w:rsid w:val="00B34AEE"/>
    <w:rsid w:val="00B40451"/>
    <w:rsid w:val="00B52BC3"/>
    <w:rsid w:val="00B61F91"/>
    <w:rsid w:val="00B71093"/>
    <w:rsid w:val="00BB2B9A"/>
    <w:rsid w:val="00BB4565"/>
    <w:rsid w:val="00BF45AD"/>
    <w:rsid w:val="00C01F2E"/>
    <w:rsid w:val="00C15258"/>
    <w:rsid w:val="00C22350"/>
    <w:rsid w:val="00C4504A"/>
    <w:rsid w:val="00C57478"/>
    <w:rsid w:val="00C66CB6"/>
    <w:rsid w:val="00C80BE2"/>
    <w:rsid w:val="00C928D2"/>
    <w:rsid w:val="00C978DD"/>
    <w:rsid w:val="00CB2F24"/>
    <w:rsid w:val="00CB3DD7"/>
    <w:rsid w:val="00CD5B85"/>
    <w:rsid w:val="00CE0DF2"/>
    <w:rsid w:val="00CE3CA7"/>
    <w:rsid w:val="00CE6434"/>
    <w:rsid w:val="00CF1783"/>
    <w:rsid w:val="00CF6397"/>
    <w:rsid w:val="00D05521"/>
    <w:rsid w:val="00D2279E"/>
    <w:rsid w:val="00D509BF"/>
    <w:rsid w:val="00D56420"/>
    <w:rsid w:val="00D741FD"/>
    <w:rsid w:val="00DC0DB1"/>
    <w:rsid w:val="00DD1C9C"/>
    <w:rsid w:val="00DD34FB"/>
    <w:rsid w:val="00DE5F18"/>
    <w:rsid w:val="00E033B6"/>
    <w:rsid w:val="00E16C7F"/>
    <w:rsid w:val="00E24327"/>
    <w:rsid w:val="00E25BBA"/>
    <w:rsid w:val="00E27AD7"/>
    <w:rsid w:val="00E364C3"/>
    <w:rsid w:val="00E42768"/>
    <w:rsid w:val="00E450CA"/>
    <w:rsid w:val="00E52E41"/>
    <w:rsid w:val="00E55D2D"/>
    <w:rsid w:val="00E5660F"/>
    <w:rsid w:val="00E600C2"/>
    <w:rsid w:val="00E608D1"/>
    <w:rsid w:val="00E8111C"/>
    <w:rsid w:val="00E816C9"/>
    <w:rsid w:val="00E82F66"/>
    <w:rsid w:val="00E90E3B"/>
    <w:rsid w:val="00E953FB"/>
    <w:rsid w:val="00EA7424"/>
    <w:rsid w:val="00EB6775"/>
    <w:rsid w:val="00ED7F52"/>
    <w:rsid w:val="00EF0BC8"/>
    <w:rsid w:val="00F025A9"/>
    <w:rsid w:val="00F10D00"/>
    <w:rsid w:val="00F40452"/>
    <w:rsid w:val="00F42EF6"/>
    <w:rsid w:val="00F4575A"/>
    <w:rsid w:val="00F5124B"/>
    <w:rsid w:val="00F5578D"/>
    <w:rsid w:val="00F567E7"/>
    <w:rsid w:val="00F567EA"/>
    <w:rsid w:val="00F605A9"/>
    <w:rsid w:val="00F65116"/>
    <w:rsid w:val="00F7432A"/>
    <w:rsid w:val="00F75A14"/>
    <w:rsid w:val="00F80E99"/>
    <w:rsid w:val="00F85585"/>
    <w:rsid w:val="00F96C66"/>
    <w:rsid w:val="00FC5B9A"/>
    <w:rsid w:val="00FD5923"/>
    <w:rsid w:val="00FE14BA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0AB6104C"/>
  <w15:docId w15:val="{A5D3531D-0C5B-4535-8FDB-AB3E476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E5"/>
  </w:style>
  <w:style w:type="paragraph" w:styleId="Footer">
    <w:name w:val="footer"/>
    <w:basedOn w:val="Normal"/>
    <w:link w:val="FooterChar"/>
    <w:uiPriority w:val="99"/>
    <w:unhideWhenUsed/>
    <w:rsid w:val="0073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E5"/>
  </w:style>
  <w:style w:type="character" w:styleId="Hyperlink">
    <w:name w:val="Hyperlink"/>
    <w:basedOn w:val="DefaultParagraphFont"/>
    <w:uiPriority w:val="99"/>
    <w:unhideWhenUsed/>
    <w:rsid w:val="00E364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calSupport@LSBio.com" TargetMode="External"/><Relationship Id="rId1" Type="http://schemas.openxmlformats.org/officeDocument/2006/relationships/hyperlink" Target="http://www.LSB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 BioSciences, Inc.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Elston</dc:creator>
  <cp:lastModifiedBy>Dylan Randolph</cp:lastModifiedBy>
  <cp:revision>3</cp:revision>
  <cp:lastPrinted>2018-06-27T19:38:00Z</cp:lastPrinted>
  <dcterms:created xsi:type="dcterms:W3CDTF">2025-03-26T16:35:00Z</dcterms:created>
  <dcterms:modified xsi:type="dcterms:W3CDTF">2025-03-26T17:23:00Z</dcterms:modified>
</cp:coreProperties>
</file>